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B868" w14:textId="69A2326A" w:rsidR="00B7734D" w:rsidRPr="00EF0BB9" w:rsidRDefault="00E077ED" w:rsidP="00E077ED">
      <w:pPr>
        <w:jc w:val="center"/>
        <w:rPr>
          <w:rFonts w:ascii="Calibri" w:hAnsi="Calibri" w:cs="Calibri"/>
          <w:b/>
          <w:bCs/>
        </w:rPr>
      </w:pPr>
      <w:r w:rsidRPr="00EF0BB9">
        <w:rPr>
          <w:rFonts w:ascii="Calibri" w:hAnsi="Calibri" w:cs="Calibri"/>
          <w:b/>
          <w:bCs/>
        </w:rPr>
        <w:t>TEMPLATE</w:t>
      </w:r>
      <w:r w:rsidR="003E1B49">
        <w:rPr>
          <w:rFonts w:ascii="Calibri" w:hAnsi="Calibri" w:cs="Calibri"/>
          <w:b/>
          <w:bCs/>
        </w:rPr>
        <w:t xml:space="preserve"> H.U.B.</w:t>
      </w:r>
    </w:p>
    <w:p w14:paraId="6713CD8C" w14:textId="5144FBEB" w:rsidR="003E1B49" w:rsidRDefault="00E077ED" w:rsidP="00EF0BB9">
      <w:pPr>
        <w:jc w:val="center"/>
        <w:rPr>
          <w:rFonts w:ascii="Calibri" w:hAnsi="Calibri" w:cs="Calibri"/>
          <w:b/>
          <w:bCs/>
        </w:rPr>
      </w:pPr>
      <w:r w:rsidRPr="00184DD0">
        <w:rPr>
          <w:rFonts w:ascii="Calibri" w:hAnsi="Calibri" w:cs="Calibri"/>
          <w:b/>
          <w:bCs/>
        </w:rPr>
        <w:t>TRAJET DE SOINS</w:t>
      </w:r>
      <w:r w:rsidR="00E50A11">
        <w:rPr>
          <w:rFonts w:ascii="Calibri" w:hAnsi="Calibri" w:cs="Calibri"/>
          <w:b/>
          <w:bCs/>
        </w:rPr>
        <w:t xml:space="preserve"> </w:t>
      </w:r>
      <w:r w:rsidR="00B10889">
        <w:rPr>
          <w:rFonts w:ascii="Calibri" w:hAnsi="Calibri" w:cs="Calibri"/>
          <w:b/>
          <w:bCs/>
        </w:rPr>
        <w:t>-Problématique de santé (PDS)</w:t>
      </w:r>
    </w:p>
    <w:p w14:paraId="6CF368DD" w14:textId="7AB18BBC" w:rsidR="00E077ED" w:rsidRDefault="00E077ED" w:rsidP="00EF0BB9">
      <w:pPr>
        <w:jc w:val="center"/>
        <w:rPr>
          <w:rFonts w:ascii="Calibri" w:hAnsi="Calibri" w:cs="Calibri"/>
          <w:b/>
          <w:bCs/>
        </w:rPr>
      </w:pPr>
    </w:p>
    <w:p w14:paraId="087545DE" w14:textId="6014AFC2" w:rsidR="00520EC9" w:rsidRDefault="001831FA" w:rsidP="006C01A8">
      <w:pPr>
        <w:jc w:val="center"/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  <w:lang w:val="fr-FR"/>
        </w:rPr>
        <w:t>Dysplasie de haut grade sur Barrett</w:t>
      </w:r>
    </w:p>
    <w:p w14:paraId="14A7975F" w14:textId="77777777" w:rsidR="001831FA" w:rsidRPr="00184DD0" w:rsidRDefault="001831FA" w:rsidP="006C01A8">
      <w:pPr>
        <w:jc w:val="center"/>
        <w:rPr>
          <w:rFonts w:ascii="Calibri" w:hAnsi="Calibri" w:cs="Calibri"/>
          <w:b/>
          <w:bCs/>
        </w:rPr>
      </w:pPr>
    </w:p>
    <w:p w14:paraId="3F1E853D" w14:textId="3DB3997B" w:rsidR="003170C1" w:rsidRDefault="00263B80" w:rsidP="003170C1">
      <w:pPr>
        <w:ind w:left="360"/>
        <w:jc w:val="both"/>
        <w:rPr>
          <w:rFonts w:ascii="Calibri" w:hAnsi="Calibri" w:cs="Calibri"/>
        </w:rPr>
      </w:pPr>
      <w:r w:rsidRPr="003170C1">
        <w:rPr>
          <w:rFonts w:ascii="Calibri" w:hAnsi="Calibri" w:cs="Calibri"/>
          <w:b/>
          <w:bCs/>
        </w:rPr>
        <w:t>L</w:t>
      </w:r>
      <w:r w:rsidR="001831FA">
        <w:rPr>
          <w:rFonts w:ascii="Calibri" w:hAnsi="Calibri" w:cs="Calibri"/>
          <w:b/>
          <w:bCs/>
        </w:rPr>
        <w:t>a dysplasie de haut grade sur Barrett</w:t>
      </w:r>
      <w:r w:rsidRPr="003170C1">
        <w:rPr>
          <w:rFonts w:ascii="Calibri" w:hAnsi="Calibri" w:cs="Calibri"/>
          <w:b/>
          <w:bCs/>
        </w:rPr>
        <w:t xml:space="preserve"> : </w:t>
      </w:r>
      <w:r w:rsidR="00E01493" w:rsidRPr="003170C1">
        <w:rPr>
          <w:rFonts w:ascii="Calibri" w:hAnsi="Calibri" w:cs="Calibri"/>
          <w:b/>
          <w:bCs/>
        </w:rPr>
        <w:t>Qu'est-ce que c'est ?</w:t>
      </w:r>
      <w:r w:rsidR="006B1AD7" w:rsidRPr="003170C1">
        <w:rPr>
          <w:rFonts w:ascii="Calibri" w:hAnsi="Calibri" w:cs="Calibri"/>
        </w:rPr>
        <w:t xml:space="preserve"> </w:t>
      </w:r>
    </w:p>
    <w:p w14:paraId="2E13EBE9" w14:textId="77777777" w:rsidR="00BB7FA3" w:rsidRDefault="00BB7FA3" w:rsidP="003170C1">
      <w:pPr>
        <w:ind w:left="360"/>
        <w:jc w:val="both"/>
        <w:rPr>
          <w:rFonts w:ascii="Calibri" w:hAnsi="Calibri" w:cs="Calibri"/>
        </w:rPr>
      </w:pPr>
    </w:p>
    <w:p w14:paraId="03A503E9" w14:textId="22FADAA6" w:rsidR="00D234E8" w:rsidRDefault="006B1AD7" w:rsidP="003170C1">
      <w:pPr>
        <w:ind w:left="708"/>
        <w:jc w:val="both"/>
        <w:rPr>
          <w:rFonts w:ascii="Calibri" w:hAnsi="Calibri" w:cs="Calibri"/>
        </w:rPr>
      </w:pPr>
      <w:r w:rsidRPr="5D01ED05">
        <w:rPr>
          <w:rFonts w:ascii="Calibri" w:hAnsi="Calibri" w:cs="Calibri"/>
        </w:rPr>
        <w:t>L</w:t>
      </w:r>
      <w:r w:rsidR="001831FA" w:rsidRPr="5D01ED05">
        <w:rPr>
          <w:rFonts w:ascii="Calibri" w:hAnsi="Calibri" w:cs="Calibri"/>
        </w:rPr>
        <w:t>’œsophage de Barrett est une modification du type de cellules qui recouvrent la surface du bas de l’œsophage suite</w:t>
      </w:r>
      <w:r w:rsidR="0F8EB79E" w:rsidRPr="5D01ED05">
        <w:rPr>
          <w:rFonts w:ascii="Calibri" w:hAnsi="Calibri" w:cs="Calibri"/>
        </w:rPr>
        <w:t xml:space="preserve"> </w:t>
      </w:r>
      <w:r w:rsidR="001831FA" w:rsidRPr="5D01ED05">
        <w:rPr>
          <w:rFonts w:ascii="Calibri" w:hAnsi="Calibri" w:cs="Calibri"/>
        </w:rPr>
        <w:t xml:space="preserve">à plusieurs facteurs dont le reflux gastro-oesophagien. </w:t>
      </w:r>
      <w:r w:rsidRPr="5D01ED05">
        <w:rPr>
          <w:rFonts w:ascii="Calibri" w:hAnsi="Calibri" w:cs="Calibri"/>
        </w:rPr>
        <w:t xml:space="preserve"> </w:t>
      </w:r>
      <w:r w:rsidR="001831FA" w:rsidRPr="5D01ED05">
        <w:rPr>
          <w:rFonts w:ascii="Calibri" w:hAnsi="Calibri" w:cs="Calibri"/>
        </w:rPr>
        <w:t xml:space="preserve">Le suivi endoscopique permet de dépister par analyse fine des images et réalisation de biopsies, la présence éventuelle de dysplasie (lésions précancéreuses). </w:t>
      </w:r>
    </w:p>
    <w:p w14:paraId="0F101761" w14:textId="0B039682" w:rsidR="001831FA" w:rsidRPr="003170C1" w:rsidRDefault="001831FA" w:rsidP="003170C1">
      <w:pPr>
        <w:ind w:left="708"/>
        <w:jc w:val="both"/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</w:rPr>
        <w:t xml:space="preserve">Les méthodes actuelles de </w:t>
      </w:r>
      <w:proofErr w:type="spellStart"/>
      <w:r>
        <w:rPr>
          <w:rFonts w:ascii="Calibri" w:hAnsi="Calibri" w:cs="Calibri"/>
        </w:rPr>
        <w:t>chromoendoscopie</w:t>
      </w:r>
      <w:proofErr w:type="spellEnd"/>
      <w:r>
        <w:rPr>
          <w:rFonts w:ascii="Calibri" w:hAnsi="Calibri" w:cs="Calibri"/>
        </w:rPr>
        <w:t xml:space="preserve"> virtuelle et par acide acétique renforcent les capacités de dépistage. Il faut séparer les lésions de dysplasie avec nette lésion visible de celles sans lésion visible.</w:t>
      </w:r>
    </w:p>
    <w:p w14:paraId="73D8AB2D" w14:textId="77777777" w:rsidR="006C01A8" w:rsidRPr="006C01A8" w:rsidRDefault="006C01A8" w:rsidP="006C01A8">
      <w:pPr>
        <w:pStyle w:val="Paragraphedeliste"/>
        <w:jc w:val="both"/>
        <w:rPr>
          <w:rFonts w:ascii="Calibri" w:hAnsi="Calibri" w:cs="Calibri"/>
          <w:b/>
          <w:bCs/>
          <w:lang w:val="fr-FR"/>
        </w:rPr>
      </w:pPr>
    </w:p>
    <w:p w14:paraId="00E5AC21" w14:textId="71720B12" w:rsidR="00F3020D" w:rsidRDefault="00F3020D" w:rsidP="003170C1">
      <w:pPr>
        <w:pStyle w:val="font-claude-response-body"/>
        <w:ind w:left="360"/>
        <w:rPr>
          <w:rFonts w:ascii="Calibri" w:hAnsi="Calibri" w:cs="Calibri"/>
          <w:b/>
          <w:bCs/>
        </w:rPr>
      </w:pPr>
      <w:r w:rsidRPr="00F3020D">
        <w:rPr>
          <w:rFonts w:ascii="Calibri" w:hAnsi="Calibri" w:cs="Calibri"/>
          <w:b/>
          <w:bCs/>
        </w:rPr>
        <w:t>Comment peut-on vous soigner</w:t>
      </w:r>
      <w:r w:rsidR="006C01A8">
        <w:rPr>
          <w:rFonts w:ascii="Calibri" w:hAnsi="Calibri" w:cs="Calibri"/>
          <w:b/>
          <w:bCs/>
        </w:rPr>
        <w:t xml:space="preserve"> </w:t>
      </w:r>
      <w:r w:rsidR="001831FA">
        <w:rPr>
          <w:rFonts w:ascii="Calibri" w:hAnsi="Calibri" w:cs="Calibri"/>
          <w:b/>
          <w:bCs/>
        </w:rPr>
        <w:t xml:space="preserve">en cas de dysplasie sur </w:t>
      </w:r>
      <w:proofErr w:type="gramStart"/>
      <w:r w:rsidR="001831FA">
        <w:rPr>
          <w:rFonts w:ascii="Calibri" w:hAnsi="Calibri" w:cs="Calibri"/>
          <w:b/>
          <w:bCs/>
        </w:rPr>
        <w:t>Barrett</w:t>
      </w:r>
      <w:r w:rsidRPr="00F3020D">
        <w:rPr>
          <w:rFonts w:ascii="Calibri" w:hAnsi="Calibri" w:cs="Calibri"/>
          <w:b/>
          <w:bCs/>
        </w:rPr>
        <w:t>?</w:t>
      </w:r>
      <w:proofErr w:type="gramEnd"/>
    </w:p>
    <w:p w14:paraId="70F5A522" w14:textId="34EA8366" w:rsidR="001831FA" w:rsidRDefault="001831FA" w:rsidP="00D234E8">
      <w:pPr>
        <w:pStyle w:val="font-claude-response-body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détection de dysplasie, la première étape consiste en la réalisation d’une nouvelle endoscopie faite par un expert à l’aide d’un endoscope de dernière génération, dans des conditions optimalisées de traitement </w:t>
      </w:r>
      <w:proofErr w:type="spellStart"/>
      <w:r>
        <w:rPr>
          <w:rFonts w:ascii="Calibri" w:hAnsi="Calibri" w:cs="Calibri"/>
        </w:rPr>
        <w:t>anti-acide</w:t>
      </w:r>
      <w:proofErr w:type="spellEnd"/>
      <w:r>
        <w:rPr>
          <w:rFonts w:ascii="Calibri" w:hAnsi="Calibri" w:cs="Calibri"/>
        </w:rPr>
        <w:t xml:space="preserve"> (inhibiteurs de la pompe à proton)</w:t>
      </w:r>
      <w:r w:rsidR="00BB7FA3">
        <w:rPr>
          <w:rFonts w:ascii="Calibri" w:hAnsi="Calibri" w:cs="Calibri"/>
        </w:rPr>
        <w:t xml:space="preserve"> dans les 3 mois de la première</w:t>
      </w:r>
      <w:r>
        <w:rPr>
          <w:rFonts w:ascii="Calibri" w:hAnsi="Calibri" w:cs="Calibri"/>
        </w:rPr>
        <w:t>. Cet examen permettra de déterminer s’il y a une lésion visible ou non et d’en préciser sa taille, sa nature prédictive. Par ailleurs, les biopsies index seront révisées par un anatomopathologiste expert afin de confirmer/infirmer la présence de dysplasie.</w:t>
      </w:r>
    </w:p>
    <w:p w14:paraId="18690CD1" w14:textId="4DD2A089" w:rsidR="001831FA" w:rsidRDefault="001831FA" w:rsidP="00D234E8">
      <w:pPr>
        <w:pStyle w:val="font-claude-response-body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En cas de lésion visible prédite comme étant superficielle, le traitement de choix consiste en une résection endoscopique, soit par mucosectomie</w:t>
      </w:r>
      <w:r w:rsidR="00BB7FA3">
        <w:rPr>
          <w:rFonts w:ascii="Calibri" w:hAnsi="Calibri" w:cs="Calibri"/>
        </w:rPr>
        <w:t xml:space="preserve"> (EMR)</w:t>
      </w:r>
      <w:r>
        <w:rPr>
          <w:rFonts w:ascii="Calibri" w:hAnsi="Calibri" w:cs="Calibri"/>
        </w:rPr>
        <w:t xml:space="preserve"> (pour les lésions inférieures à 15mm) ou par dissection sous-muqueuse </w:t>
      </w:r>
      <w:r w:rsidR="00BB7FA3">
        <w:rPr>
          <w:rFonts w:ascii="Calibri" w:hAnsi="Calibri" w:cs="Calibri"/>
        </w:rPr>
        <w:t>(ESD</w:t>
      </w:r>
      <w:proofErr w:type="gramStart"/>
      <w:r w:rsidR="00BB7FA3">
        <w:rPr>
          <w:rFonts w:ascii="Calibri" w:hAnsi="Calibri" w:cs="Calibri"/>
        </w:rPr>
        <w:t>)</w:t>
      </w:r>
      <w:r>
        <w:rPr>
          <w:rFonts w:ascii="Calibri" w:hAnsi="Calibri" w:cs="Calibri"/>
        </w:rPr>
        <w:t>(</w:t>
      </w:r>
      <w:proofErr w:type="gramEnd"/>
      <w:r>
        <w:rPr>
          <w:rFonts w:ascii="Calibri" w:hAnsi="Calibri" w:cs="Calibri"/>
        </w:rPr>
        <w:t>pour les lésions de plus de 15mm). Ces 2 techniques se font au sein des salles d’endoscopie thérapeutique de l’hôpital Erasme.  Si la pièce ne montre pas de contre-indication à la poursuite d’un traitement endoscopique, une ablation du Barrett résiduel sera proposée dans un second temps, selon l’</w:t>
      </w:r>
      <w:r w:rsidR="00BB7FA3">
        <w:rPr>
          <w:rFonts w:ascii="Calibri" w:hAnsi="Calibri" w:cs="Calibri"/>
        </w:rPr>
        <w:t>âge, l’état général et l’espérance de vie du patient</w:t>
      </w:r>
    </w:p>
    <w:p w14:paraId="2DD1F226" w14:textId="47C2D418" w:rsidR="00BB7FA3" w:rsidRDefault="00BB7FA3" w:rsidP="00D234E8">
      <w:pPr>
        <w:pStyle w:val="font-claude-response-body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En l’absence de lésion visible et en cas de confirmation de dysplasie de haut grade aux nouvelles biopsies du Barrett, ainsi que suite à une résection endoscopique pour HGD ou carcinome pT1, une ablation du Barrett sera proposée selon les critères précités, par la technique de radiofréquence (RFA).</w:t>
      </w:r>
    </w:p>
    <w:p w14:paraId="3B16DF49" w14:textId="76F0A919" w:rsidR="00BB7FA3" w:rsidRDefault="00BB7FA3" w:rsidP="00D234E8">
      <w:pPr>
        <w:pStyle w:val="font-claude-response-body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Concernant une mucosectomie, une ESD ou une RFA :</w:t>
      </w:r>
    </w:p>
    <w:p w14:paraId="497B0F6E" w14:textId="2326BD9A" w:rsidR="006C01A8" w:rsidRPr="006C01A8" w:rsidRDefault="006C01A8" w:rsidP="006C01A8">
      <w:pPr>
        <w:pStyle w:val="font-claude-response-body"/>
        <w:numPr>
          <w:ilvl w:val="0"/>
          <w:numId w:val="10"/>
        </w:numPr>
        <w:rPr>
          <w:rFonts w:ascii="Calibri" w:hAnsi="Calibri" w:cs="Calibri"/>
          <w:lang w:val="fr-FR"/>
        </w:rPr>
      </w:pPr>
      <w:r w:rsidRPr="006C01A8">
        <w:rPr>
          <w:rFonts w:ascii="Calibri" w:hAnsi="Calibri" w:cs="Calibri"/>
          <w:lang w:val="fr-FR"/>
        </w:rPr>
        <w:t xml:space="preserve">Vous serez installé(e) sur une table d'examen. </w:t>
      </w:r>
      <w:r>
        <w:rPr>
          <w:rFonts w:ascii="Calibri" w:hAnsi="Calibri" w:cs="Calibri"/>
          <w:lang w:val="fr-FR"/>
        </w:rPr>
        <w:t xml:space="preserve">L’examen peut durer </w:t>
      </w:r>
      <w:r w:rsidR="00BB7FA3">
        <w:rPr>
          <w:rFonts w:ascii="Calibri" w:hAnsi="Calibri" w:cs="Calibri"/>
          <w:lang w:val="fr-FR"/>
        </w:rPr>
        <w:t>30-90</w:t>
      </w:r>
      <w:r>
        <w:rPr>
          <w:rFonts w:ascii="Calibri" w:hAnsi="Calibri" w:cs="Calibri"/>
          <w:lang w:val="fr-FR"/>
        </w:rPr>
        <w:t xml:space="preserve"> minutes et il est réalisé sous anesthésie pour votre confort</w:t>
      </w:r>
    </w:p>
    <w:p w14:paraId="00A668A9" w14:textId="77777777" w:rsidR="00BB7FA3" w:rsidRDefault="006C01A8" w:rsidP="006C01A8">
      <w:pPr>
        <w:pStyle w:val="font-claude-response-body"/>
        <w:numPr>
          <w:ilvl w:val="0"/>
          <w:numId w:val="10"/>
        </w:numPr>
        <w:rPr>
          <w:rFonts w:ascii="Calibri" w:hAnsi="Calibri" w:cs="Calibri"/>
          <w:lang w:val="fr-FR"/>
        </w:rPr>
      </w:pPr>
      <w:r w:rsidRPr="006C01A8">
        <w:rPr>
          <w:rFonts w:ascii="Calibri" w:hAnsi="Calibri" w:cs="Calibri"/>
          <w:lang w:val="fr-FR"/>
        </w:rPr>
        <w:t xml:space="preserve">Un </w:t>
      </w:r>
      <w:r w:rsidR="00BB7FA3">
        <w:rPr>
          <w:rFonts w:ascii="Calibri" w:hAnsi="Calibri" w:cs="Calibri"/>
          <w:lang w:val="fr-FR"/>
        </w:rPr>
        <w:t>endoscope sera introduit par la bouche et permettra une analyse fine de la muqueuse de Barrett.</w:t>
      </w:r>
    </w:p>
    <w:p w14:paraId="0FD088AF" w14:textId="77777777" w:rsidR="00BB7FA3" w:rsidRDefault="00BB7FA3" w:rsidP="006C01A8">
      <w:pPr>
        <w:pStyle w:val="font-claude-response-body"/>
        <w:numPr>
          <w:ilvl w:val="0"/>
          <w:numId w:val="10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lastRenderedPageBreak/>
        <w:t xml:space="preserve">Pour une résection, après soulèvement du tissu par injection sous-muqueuse, le tissu atteint sera extrait par un instrument à l’aide d’un courant d’électrocoagulation. </w:t>
      </w:r>
    </w:p>
    <w:p w14:paraId="7C7F3B7C" w14:textId="79CCE2B3" w:rsidR="00BB7FA3" w:rsidRDefault="00BB7FA3" w:rsidP="006C01A8">
      <w:pPr>
        <w:pStyle w:val="font-claude-response-body"/>
        <w:numPr>
          <w:ilvl w:val="0"/>
          <w:numId w:val="10"/>
        </w:numPr>
        <w:rPr>
          <w:rFonts w:ascii="Calibri" w:hAnsi="Calibri" w:cs="Calibri"/>
          <w:lang w:val="fr-FR"/>
        </w:rPr>
      </w:pPr>
      <w:r w:rsidRPr="5D01ED05">
        <w:rPr>
          <w:rFonts w:ascii="Calibri" w:hAnsi="Calibri" w:cs="Calibri"/>
          <w:lang w:val="fr-FR"/>
        </w:rPr>
        <w:t>En ce qui concerne la RFA, une sonde ou un ballonnet sera appliqué de manière à brûler rapidement de manière standardisée la surface atteinte par le Barrett. Grâce au traitement par inhibiteurs de la pompe à protons, le tissu cicatrisera sans Barrett résiduel. Des cycles de traitements seront réalisés tous les 3 mois jusqu’à disparition du Barrett, avec un total de 5 sessions maximum par patient.</w:t>
      </w:r>
    </w:p>
    <w:p w14:paraId="744C2A41" w14:textId="537CB776" w:rsidR="5F3ACE78" w:rsidRDefault="5F3ACE78" w:rsidP="5D01ED05">
      <w:pPr>
        <w:pStyle w:val="font-claude-response-body"/>
        <w:rPr>
          <w:rFonts w:ascii="Calibri" w:hAnsi="Calibri" w:cs="Calibri"/>
          <w:lang w:val="fr-FR"/>
        </w:rPr>
      </w:pPr>
      <w:r w:rsidRPr="5D01ED05">
        <w:rPr>
          <w:rFonts w:ascii="Calibri" w:hAnsi="Calibri" w:cs="Calibri"/>
          <w:lang w:val="fr-FR"/>
        </w:rPr>
        <w:t>Après rémission (disparition de dysplasie et de métaplasie intestinale de Barrett, tant en termes d’image endoscopique que de résultats de biopsies), un suivi endoscopique structuré sera organisé</w:t>
      </w:r>
      <w:r w:rsidR="580D5DB8" w:rsidRPr="5D01ED05">
        <w:rPr>
          <w:rFonts w:ascii="Calibri" w:hAnsi="Calibri" w:cs="Calibri"/>
          <w:lang w:val="fr-FR"/>
        </w:rPr>
        <w:t xml:space="preserve"> (endoscopie tous les 6 mois la première année, puis annuellement). Un traitement par inhibiteurs de la pompe à proton sera prescrit à maintenir au long cours.</w:t>
      </w:r>
    </w:p>
    <w:p w14:paraId="16492281" w14:textId="77777777" w:rsidR="003170C1" w:rsidRDefault="003170C1" w:rsidP="003170C1">
      <w:pPr>
        <w:pStyle w:val="Paragraphedeliste"/>
        <w:ind w:left="1353"/>
        <w:rPr>
          <w:rFonts w:ascii="Calibri" w:hAnsi="Calibri" w:cs="Calibri"/>
          <w:b/>
          <w:bCs/>
        </w:rPr>
      </w:pPr>
    </w:p>
    <w:p w14:paraId="18D2714B" w14:textId="0D96E8E6" w:rsidR="003170C1" w:rsidRPr="003170C1" w:rsidRDefault="003170C1" w:rsidP="003170C1">
      <w:pPr>
        <w:pStyle w:val="Paragraphedeliste"/>
        <w:ind w:left="360"/>
        <w:rPr>
          <w:rFonts w:ascii="Calibri" w:hAnsi="Calibri" w:cs="Calibri"/>
          <w:b/>
          <w:bCs/>
        </w:rPr>
      </w:pPr>
      <w:r w:rsidRPr="5D01ED05">
        <w:rPr>
          <w:rFonts w:ascii="Calibri" w:hAnsi="Calibri" w:cs="Calibri"/>
          <w:b/>
          <w:bCs/>
        </w:rPr>
        <w:t>Comment se passe la p</w:t>
      </w:r>
      <w:r w:rsidR="7FB82CCC" w:rsidRPr="5D01ED05">
        <w:rPr>
          <w:rFonts w:ascii="Calibri" w:hAnsi="Calibri" w:cs="Calibri"/>
          <w:b/>
          <w:bCs/>
        </w:rPr>
        <w:t>é</w:t>
      </w:r>
      <w:r w:rsidRPr="5D01ED05">
        <w:rPr>
          <w:rFonts w:ascii="Calibri" w:hAnsi="Calibri" w:cs="Calibri"/>
          <w:b/>
          <w:bCs/>
        </w:rPr>
        <w:t xml:space="preserve">riode après </w:t>
      </w:r>
      <w:r w:rsidR="00BB7FA3" w:rsidRPr="5D01ED05">
        <w:rPr>
          <w:rFonts w:ascii="Calibri" w:hAnsi="Calibri" w:cs="Calibri"/>
          <w:b/>
          <w:bCs/>
        </w:rPr>
        <w:t xml:space="preserve">le traitement </w:t>
      </w:r>
      <w:proofErr w:type="gramStart"/>
      <w:r w:rsidR="00BB7FA3" w:rsidRPr="5D01ED05">
        <w:rPr>
          <w:rFonts w:ascii="Calibri" w:hAnsi="Calibri" w:cs="Calibri"/>
          <w:b/>
          <w:bCs/>
        </w:rPr>
        <w:t>endoscopique</w:t>
      </w:r>
      <w:r w:rsidRPr="5D01ED05">
        <w:rPr>
          <w:rFonts w:ascii="Calibri" w:hAnsi="Calibri" w:cs="Calibri"/>
          <w:b/>
          <w:bCs/>
        </w:rPr>
        <w:t>?</w:t>
      </w:r>
      <w:proofErr w:type="gramEnd"/>
    </w:p>
    <w:p w14:paraId="5C50F82D" w14:textId="77777777" w:rsidR="003170C1" w:rsidRDefault="003170C1" w:rsidP="003170C1">
      <w:pPr>
        <w:pStyle w:val="Paragraphedeliste"/>
        <w:jc w:val="both"/>
        <w:rPr>
          <w:rFonts w:ascii="Calibri" w:hAnsi="Calibri" w:cs="Calibri"/>
          <w:b/>
          <w:bCs/>
        </w:rPr>
      </w:pPr>
    </w:p>
    <w:p w14:paraId="294DBD73" w14:textId="7C30CC2B" w:rsidR="003170C1" w:rsidRPr="00BB7FA3" w:rsidRDefault="003170C1" w:rsidP="003170C1">
      <w:pPr>
        <w:pStyle w:val="font-claude-response-body"/>
        <w:ind w:left="360"/>
        <w:rPr>
          <w:rFonts w:ascii="Calibri" w:hAnsi="Calibri" w:cs="Calibri"/>
        </w:rPr>
      </w:pPr>
      <w:r w:rsidRPr="5D01ED05">
        <w:rPr>
          <w:rFonts w:ascii="Calibri" w:hAnsi="Calibri" w:cs="Calibri"/>
        </w:rPr>
        <w:t xml:space="preserve">Après la procédure, vous resterez au moins une nuit à l'hôpital afin de s'assurer que vous </w:t>
      </w:r>
      <w:r w:rsidR="00347DED" w:rsidRPr="5D01ED05">
        <w:rPr>
          <w:rFonts w:ascii="Calibri" w:hAnsi="Calibri" w:cs="Calibri"/>
        </w:rPr>
        <w:t xml:space="preserve">ne </w:t>
      </w:r>
      <w:r w:rsidRPr="5D01ED05">
        <w:rPr>
          <w:rFonts w:ascii="Calibri" w:hAnsi="Calibri" w:cs="Calibri"/>
        </w:rPr>
        <w:t>present</w:t>
      </w:r>
      <w:r w:rsidR="148E1EBB" w:rsidRPr="5D01ED05">
        <w:rPr>
          <w:rFonts w:ascii="Calibri" w:hAnsi="Calibri" w:cs="Calibri"/>
        </w:rPr>
        <w:t>i</w:t>
      </w:r>
      <w:r w:rsidRPr="5D01ED05">
        <w:rPr>
          <w:rFonts w:ascii="Calibri" w:hAnsi="Calibri" w:cs="Calibri"/>
        </w:rPr>
        <w:t>ez pas de douleurs dans le ventre, qui s’estompe</w:t>
      </w:r>
      <w:r w:rsidR="00347DED" w:rsidRPr="5D01ED05">
        <w:rPr>
          <w:rFonts w:ascii="Calibri" w:hAnsi="Calibri" w:cs="Calibri"/>
        </w:rPr>
        <w:t>nt</w:t>
      </w:r>
      <w:r w:rsidRPr="5D01ED05">
        <w:rPr>
          <w:rFonts w:ascii="Calibri" w:hAnsi="Calibri" w:cs="Calibri"/>
        </w:rPr>
        <w:t xml:space="preserve"> en gén</w:t>
      </w:r>
      <w:r w:rsidR="6344D9CD" w:rsidRPr="5D01ED05">
        <w:rPr>
          <w:rFonts w:ascii="Calibri" w:hAnsi="Calibri" w:cs="Calibri"/>
        </w:rPr>
        <w:t>é</w:t>
      </w:r>
      <w:r w:rsidRPr="5D01ED05">
        <w:rPr>
          <w:rFonts w:ascii="Calibri" w:hAnsi="Calibri" w:cs="Calibri"/>
        </w:rPr>
        <w:t>ral au cours des 12 premières heures</w:t>
      </w:r>
      <w:r w:rsidR="00BB7FA3" w:rsidRPr="5D01ED05">
        <w:rPr>
          <w:rFonts w:ascii="Calibri" w:hAnsi="Calibri" w:cs="Calibri"/>
        </w:rPr>
        <w:t>. Vous aurez un traitement anti-acide et un régime moulu durant quelques jours</w:t>
      </w:r>
    </w:p>
    <w:p w14:paraId="2669BC38" w14:textId="7B046B7C" w:rsidR="003170C1" w:rsidRPr="00BB7FA3" w:rsidRDefault="003170C1" w:rsidP="003170C1">
      <w:pPr>
        <w:pStyle w:val="font-claude-response-body"/>
        <w:ind w:left="360"/>
        <w:rPr>
          <w:rFonts w:ascii="Calibri" w:hAnsi="Calibri" w:cs="Calibri"/>
        </w:rPr>
      </w:pPr>
      <w:r w:rsidRPr="5D01ED05">
        <w:rPr>
          <w:rFonts w:ascii="Calibri" w:hAnsi="Calibri" w:cs="Calibri"/>
        </w:rPr>
        <w:t xml:space="preserve">Les </w:t>
      </w:r>
      <w:r w:rsidRPr="5D01ED05">
        <w:rPr>
          <w:rFonts w:ascii="Calibri" w:hAnsi="Calibri" w:cs="Calibri"/>
          <w:b/>
          <w:bCs/>
        </w:rPr>
        <w:t>complications</w:t>
      </w:r>
      <w:r w:rsidRPr="5D01ED05">
        <w:rPr>
          <w:rFonts w:ascii="Calibri" w:hAnsi="Calibri" w:cs="Calibri"/>
        </w:rPr>
        <w:t xml:space="preserve"> liées à</w:t>
      </w:r>
      <w:r w:rsidR="00BB7FA3" w:rsidRPr="5D01ED05">
        <w:rPr>
          <w:rFonts w:ascii="Calibri" w:hAnsi="Calibri" w:cs="Calibri"/>
        </w:rPr>
        <w:t xml:space="preserve"> ces traitements sont rares</w:t>
      </w:r>
      <w:r w:rsidRPr="5D01ED05">
        <w:rPr>
          <w:rFonts w:ascii="Calibri" w:hAnsi="Calibri" w:cs="Calibri"/>
        </w:rPr>
        <w:t>. La plus fr</w:t>
      </w:r>
      <w:r w:rsidR="3A009CE7" w:rsidRPr="5D01ED05">
        <w:rPr>
          <w:rFonts w:ascii="Calibri" w:hAnsi="Calibri" w:cs="Calibri"/>
        </w:rPr>
        <w:t>é</w:t>
      </w:r>
      <w:r w:rsidRPr="5D01ED05">
        <w:rPr>
          <w:rFonts w:ascii="Calibri" w:hAnsi="Calibri" w:cs="Calibri"/>
        </w:rPr>
        <w:t>quente es</w:t>
      </w:r>
      <w:r w:rsidR="00BB7FA3" w:rsidRPr="5D01ED05">
        <w:rPr>
          <w:rFonts w:ascii="Calibri" w:hAnsi="Calibri" w:cs="Calibri"/>
        </w:rPr>
        <w:t>t</w:t>
      </w:r>
      <w:r w:rsidRPr="5D01ED05">
        <w:rPr>
          <w:rFonts w:ascii="Calibri" w:hAnsi="Calibri" w:cs="Calibri"/>
        </w:rPr>
        <w:t xml:space="preserve"> la</w:t>
      </w:r>
      <w:r w:rsidR="00BB7FA3" w:rsidRPr="5D01ED05">
        <w:rPr>
          <w:rFonts w:ascii="Calibri" w:hAnsi="Calibri" w:cs="Calibri"/>
        </w:rPr>
        <w:t xml:space="preserve"> douleur. Une sténose cicatricielle peut survenir dans 5-10% des cas.</w:t>
      </w:r>
    </w:p>
    <w:p w14:paraId="1DFA9304" w14:textId="77777777" w:rsidR="00E077ED" w:rsidRPr="00B10889" w:rsidRDefault="00E077ED" w:rsidP="00E077ED">
      <w:pPr>
        <w:rPr>
          <w:rFonts w:ascii="Calibri" w:hAnsi="Calibri" w:cs="Calibri"/>
          <w:b/>
          <w:bCs/>
        </w:rPr>
      </w:pPr>
    </w:p>
    <w:p w14:paraId="0E3D5D1A" w14:textId="77777777" w:rsidR="00184DD0" w:rsidRPr="00B10889" w:rsidRDefault="00184DD0" w:rsidP="00E077ED">
      <w:pPr>
        <w:rPr>
          <w:rFonts w:ascii="Calibri" w:hAnsi="Calibri" w:cs="Calibri"/>
          <w:b/>
          <w:bCs/>
        </w:rPr>
      </w:pPr>
    </w:p>
    <w:p w14:paraId="7F9DD59A" w14:textId="6E1DC097" w:rsidR="00DC3732" w:rsidRPr="00DC3732" w:rsidRDefault="00E20FA0" w:rsidP="00E20FA0">
      <w:pPr>
        <w:pStyle w:val="Paragraphedeliste"/>
        <w:numPr>
          <w:ilvl w:val="0"/>
          <w:numId w:val="7"/>
        </w:numPr>
        <w:rPr>
          <w:rFonts w:ascii="Calibri" w:hAnsi="Calibri" w:cs="Calibri"/>
          <w:lang w:val="fr-FR"/>
        </w:rPr>
      </w:pPr>
      <w:r w:rsidRPr="00E20FA0">
        <w:rPr>
          <w:rFonts w:ascii="Calibri" w:hAnsi="Calibri" w:cs="Calibri"/>
          <w:b/>
          <w:bCs/>
          <w:lang w:val="fr-FR"/>
        </w:rPr>
        <w:t xml:space="preserve">Point de </w:t>
      </w:r>
      <w:r w:rsidR="00517CE3" w:rsidRPr="00E20FA0">
        <w:rPr>
          <w:rFonts w:ascii="Calibri" w:hAnsi="Calibri" w:cs="Calibri"/>
          <w:b/>
          <w:bCs/>
          <w:lang w:val="fr-FR"/>
        </w:rPr>
        <w:t>contact :</w:t>
      </w:r>
      <w:r>
        <w:rPr>
          <w:rFonts w:ascii="Calibri" w:hAnsi="Calibri" w:cs="Calibri"/>
          <w:lang w:val="fr-FR"/>
        </w:rPr>
        <w:t xml:space="preserve"> </w:t>
      </w:r>
      <w:r w:rsidRPr="00E20FA0">
        <w:rPr>
          <w:rFonts w:ascii="Calibri" w:hAnsi="Calibri" w:cs="Calibri"/>
          <w:lang w:val="fr-FR"/>
        </w:rPr>
        <w:t xml:space="preserve">N’hésitez pas à prendre un rendez-vous en consultation (par email à </w:t>
      </w:r>
      <w:r w:rsidRPr="007D3C2D">
        <w:rPr>
          <w:rFonts w:ascii="Calibri" w:hAnsi="Calibri" w:cs="Calibri"/>
          <w:u w:val="single"/>
          <w:lang w:val="fr-FR"/>
        </w:rPr>
        <w:t>ConsGastroMed.erasme@hubruxelles.be</w:t>
      </w:r>
      <w:r w:rsidRPr="00E20FA0">
        <w:rPr>
          <w:rFonts w:ascii="Calibri" w:hAnsi="Calibri" w:cs="Calibri"/>
          <w:lang w:val="fr-FR"/>
        </w:rPr>
        <w:t xml:space="preserve"> ou par téléphone au +32 (0)2 555.35.04</w:t>
      </w:r>
      <w:r w:rsidR="007D3C2D">
        <w:rPr>
          <w:rFonts w:ascii="Calibri" w:hAnsi="Calibri" w:cs="Calibri"/>
          <w:lang w:val="fr-FR"/>
        </w:rPr>
        <w:t xml:space="preserve"> ou contacter le service de Gastroentérologie HUB directement au </w:t>
      </w:r>
      <w:hyperlink r:id="rId10" w:history="1">
        <w:r w:rsidR="00DC3732" w:rsidRPr="0090632A">
          <w:rPr>
            <w:rStyle w:val="Lienhypertexte"/>
            <w:rFonts w:ascii="Calibri" w:hAnsi="Calibri" w:cs="Calibri"/>
            <w:lang w:val="fr-FR"/>
          </w:rPr>
          <w:t>SecMed.GastroMed.erasme@hubruxelles.be</w:t>
        </w:r>
      </w:hyperlink>
      <w:r w:rsidR="00DC3732">
        <w:rPr>
          <w:rFonts w:ascii="Calibri" w:hAnsi="Calibri" w:cs="Calibri"/>
          <w:u w:val="single"/>
          <w:lang w:val="fr-FR"/>
        </w:rPr>
        <w:t xml:space="preserve">, ou le secrétariat d’endoscopie : </w:t>
      </w:r>
      <w:hyperlink r:id="rId11" w:history="1">
        <w:r w:rsidR="00DC3732" w:rsidRPr="0090632A">
          <w:rPr>
            <w:rStyle w:val="Lienhypertexte"/>
            <w:rFonts w:ascii="Calibri" w:hAnsi="Calibri" w:cs="Calibri"/>
            <w:lang w:val="fr-FR"/>
          </w:rPr>
          <w:t>rendez-vous.endoscopie.erasme@hubruxelles.be</w:t>
        </w:r>
      </w:hyperlink>
    </w:p>
    <w:p w14:paraId="5550A81F" w14:textId="62F2904C" w:rsidR="00184DD0" w:rsidRPr="00E20FA0" w:rsidRDefault="00E20FA0" w:rsidP="00DC3732">
      <w:pPr>
        <w:pStyle w:val="Paragraphedeliste"/>
        <w:rPr>
          <w:rFonts w:ascii="Calibri" w:hAnsi="Calibri" w:cs="Calibri"/>
          <w:lang w:val="fr-FR"/>
        </w:rPr>
      </w:pPr>
      <w:r w:rsidRPr="00E20FA0">
        <w:rPr>
          <w:rFonts w:ascii="Calibri" w:hAnsi="Calibri" w:cs="Calibri"/>
          <w:lang w:val="fr-FR"/>
        </w:rPr>
        <w:t xml:space="preserve"> </w:t>
      </w:r>
    </w:p>
    <w:p w14:paraId="583012FE" w14:textId="77777777" w:rsidR="002A5FA6" w:rsidRPr="00ED5F3B" w:rsidRDefault="002A5FA6" w:rsidP="002A5FA6">
      <w:pPr>
        <w:pStyle w:val="Paragraphedeliste"/>
        <w:rPr>
          <w:rFonts w:ascii="Calibri" w:hAnsi="Calibri" w:cs="Calibri"/>
          <w:b/>
          <w:bCs/>
          <w:lang w:val="fr-FR"/>
        </w:rPr>
      </w:pPr>
    </w:p>
    <w:p w14:paraId="12D388B4" w14:textId="2D672D87" w:rsidR="002A5FA6" w:rsidRDefault="002A5FA6" w:rsidP="002A5FA6">
      <w:pPr>
        <w:rPr>
          <w:rFonts w:ascii="Calibri" w:hAnsi="Calibri" w:cs="Calibri"/>
          <w:b/>
          <w:bCs/>
        </w:rPr>
      </w:pPr>
    </w:p>
    <w:p w14:paraId="6FE31BBC" w14:textId="77777777" w:rsidR="00B10889" w:rsidRDefault="00B10889" w:rsidP="002A5FA6">
      <w:pPr>
        <w:rPr>
          <w:rFonts w:ascii="Calibri" w:hAnsi="Calibri" w:cs="Calibri"/>
          <w:b/>
          <w:bCs/>
        </w:rPr>
      </w:pPr>
    </w:p>
    <w:p w14:paraId="3C912D95" w14:textId="77777777" w:rsidR="00E20FA0" w:rsidRDefault="00E20FA0" w:rsidP="002A5FA6">
      <w:pPr>
        <w:rPr>
          <w:rFonts w:ascii="Calibri" w:hAnsi="Calibri" w:cs="Calibri"/>
          <w:b/>
          <w:bCs/>
        </w:rPr>
      </w:pPr>
    </w:p>
    <w:p w14:paraId="7C222930" w14:textId="77777777" w:rsidR="00E20FA0" w:rsidRDefault="00E20FA0" w:rsidP="002A5FA6">
      <w:pPr>
        <w:rPr>
          <w:rFonts w:ascii="Calibri" w:hAnsi="Calibri" w:cs="Calibri"/>
          <w:b/>
          <w:bCs/>
        </w:rPr>
      </w:pPr>
    </w:p>
    <w:p w14:paraId="48335CE8" w14:textId="31631E8F" w:rsidR="002475E9" w:rsidRDefault="004066BB" w:rsidP="002A5FA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Version </w:t>
      </w:r>
      <w:r w:rsidR="001F66B2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0/05/2026</w:t>
      </w:r>
    </w:p>
    <w:p w14:paraId="378D9576" w14:textId="77777777" w:rsidR="004066BB" w:rsidRDefault="004066BB" w:rsidP="002A5FA6">
      <w:pPr>
        <w:rPr>
          <w:rFonts w:ascii="Calibri" w:hAnsi="Calibri" w:cs="Calibri"/>
          <w:b/>
          <w:bCs/>
        </w:rPr>
      </w:pPr>
    </w:p>
    <w:p w14:paraId="4A452EFC" w14:textId="4066093B" w:rsidR="00E50A11" w:rsidRPr="00184DD0" w:rsidRDefault="00E50A11" w:rsidP="00E077ED">
      <w:pPr>
        <w:rPr>
          <w:rFonts w:ascii="Calibri" w:hAnsi="Calibri" w:cs="Calibri"/>
          <w:b/>
          <w:bCs/>
        </w:rPr>
      </w:pPr>
    </w:p>
    <w:sectPr w:rsidR="00E50A11" w:rsidRPr="00184DD0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B534" w14:textId="77777777" w:rsidR="00E42DFF" w:rsidRDefault="00E42DFF" w:rsidP="00E077ED">
      <w:r>
        <w:separator/>
      </w:r>
    </w:p>
  </w:endnote>
  <w:endnote w:type="continuationSeparator" w:id="0">
    <w:p w14:paraId="00DA1DEF" w14:textId="77777777" w:rsidR="00E42DFF" w:rsidRDefault="00E42DFF" w:rsidP="00E0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7933888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A558865" w14:textId="4A6DF719" w:rsidR="006A2CB4" w:rsidRDefault="006A2CB4" w:rsidP="00592B0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 w:rsidR="005E08F8"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52B163FB" w14:textId="77777777" w:rsidR="006A2CB4" w:rsidRDefault="006A2CB4" w:rsidP="006A2CB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61482699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CBA3CB8" w14:textId="034CA288" w:rsidR="006A2CB4" w:rsidRDefault="006A2CB4" w:rsidP="00592B0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538BD12" w14:textId="77777777" w:rsidR="006A2CB4" w:rsidRDefault="006A2CB4" w:rsidP="006A2CB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C45DB" w14:textId="77777777" w:rsidR="00E42DFF" w:rsidRDefault="00E42DFF" w:rsidP="00E077ED">
      <w:r>
        <w:separator/>
      </w:r>
    </w:p>
  </w:footnote>
  <w:footnote w:type="continuationSeparator" w:id="0">
    <w:p w14:paraId="5B4580B4" w14:textId="77777777" w:rsidR="00E42DFF" w:rsidRDefault="00E42DFF" w:rsidP="00E07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527478957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3B2CDD46" w14:textId="62D57D9D" w:rsidR="00E077ED" w:rsidRDefault="00E077ED" w:rsidP="0074109F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 w:rsidR="005E08F8"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1369D21B" w14:textId="77777777" w:rsidR="00E077ED" w:rsidRDefault="00E077ED" w:rsidP="00E077ED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989321163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1788F1E1" w14:textId="6CB11E81" w:rsidR="00E077ED" w:rsidRDefault="00E077ED" w:rsidP="0074109F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B89C5F4" w14:textId="7D1EBEDD" w:rsidR="00E077ED" w:rsidRPr="00E077ED" w:rsidRDefault="00E077ED" w:rsidP="00E077ED">
    <w:pPr>
      <w:pStyle w:val="En-tte"/>
      <w:ind w:right="360"/>
      <w:rPr>
        <w:i/>
        <w:iCs/>
        <w:sz w:val="22"/>
        <w:szCs w:val="22"/>
        <w:lang w:val="nl-NL"/>
      </w:rPr>
    </w:pPr>
    <w:r w:rsidRPr="00E077ED">
      <w:rPr>
        <w:i/>
        <w:iCs/>
        <w:sz w:val="22"/>
        <w:szCs w:val="22"/>
        <w:lang w:val="nl-NL"/>
      </w:rPr>
      <w:t>Version</w:t>
    </w:r>
    <w:r w:rsidR="00023C33">
      <w:rPr>
        <w:i/>
        <w:iCs/>
        <w:sz w:val="22"/>
        <w:szCs w:val="22"/>
        <w:lang w:val="nl-NL"/>
      </w:rPr>
      <w:t xml:space="preserve"> 2</w:t>
    </w:r>
    <w:r w:rsidRPr="00E077ED">
      <w:rPr>
        <w:i/>
        <w:iCs/>
        <w:sz w:val="22"/>
        <w:szCs w:val="22"/>
        <w:lang w:val="nl-NL"/>
      </w:rPr>
      <w:t xml:space="preserve"> – </w:t>
    </w:r>
    <w:r w:rsidR="00023C33">
      <w:rPr>
        <w:i/>
        <w:iCs/>
        <w:sz w:val="22"/>
        <w:szCs w:val="22"/>
        <w:lang w:val="nl-NL"/>
      </w:rPr>
      <w:t>9/04/2026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8544D"/>
    <w:multiLevelType w:val="multilevel"/>
    <w:tmpl w:val="992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86AA4"/>
    <w:multiLevelType w:val="multilevel"/>
    <w:tmpl w:val="C35C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14CFC"/>
    <w:multiLevelType w:val="hybridMultilevel"/>
    <w:tmpl w:val="F364DC96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1B128B"/>
    <w:multiLevelType w:val="hybridMultilevel"/>
    <w:tmpl w:val="6CD83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B3483"/>
    <w:multiLevelType w:val="hybridMultilevel"/>
    <w:tmpl w:val="D50A5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4034B"/>
    <w:multiLevelType w:val="hybridMultilevel"/>
    <w:tmpl w:val="2D021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A3674"/>
    <w:multiLevelType w:val="multilevel"/>
    <w:tmpl w:val="90AED10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F0ADF"/>
    <w:multiLevelType w:val="multilevel"/>
    <w:tmpl w:val="88D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614DCE"/>
    <w:multiLevelType w:val="hybridMultilevel"/>
    <w:tmpl w:val="8580F1A0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012115"/>
    <w:multiLevelType w:val="hybridMultilevel"/>
    <w:tmpl w:val="BC34CDE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9A35F67"/>
    <w:multiLevelType w:val="hybridMultilevel"/>
    <w:tmpl w:val="347AA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75FB4"/>
    <w:multiLevelType w:val="multilevel"/>
    <w:tmpl w:val="4606E72C"/>
    <w:styleLink w:val="CurrentList1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824272">
    <w:abstractNumId w:val="4"/>
  </w:num>
  <w:num w:numId="2" w16cid:durableId="895164536">
    <w:abstractNumId w:val="1"/>
  </w:num>
  <w:num w:numId="3" w16cid:durableId="1328509254">
    <w:abstractNumId w:val="6"/>
  </w:num>
  <w:num w:numId="4" w16cid:durableId="1070467993">
    <w:abstractNumId w:val="10"/>
  </w:num>
  <w:num w:numId="5" w16cid:durableId="559748228">
    <w:abstractNumId w:val="7"/>
  </w:num>
  <w:num w:numId="6" w16cid:durableId="1751535718">
    <w:abstractNumId w:val="0"/>
  </w:num>
  <w:num w:numId="7" w16cid:durableId="1774932904">
    <w:abstractNumId w:val="3"/>
  </w:num>
  <w:num w:numId="8" w16cid:durableId="957374503">
    <w:abstractNumId w:val="9"/>
  </w:num>
  <w:num w:numId="9" w16cid:durableId="593972280">
    <w:abstractNumId w:val="2"/>
  </w:num>
  <w:num w:numId="10" w16cid:durableId="765347453">
    <w:abstractNumId w:val="8"/>
  </w:num>
  <w:num w:numId="11" w16cid:durableId="439184656">
    <w:abstractNumId w:val="5"/>
  </w:num>
  <w:num w:numId="12" w16cid:durableId="14609984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ED"/>
    <w:rsid w:val="00023C33"/>
    <w:rsid w:val="000242F8"/>
    <w:rsid w:val="00082BA4"/>
    <w:rsid w:val="000B34A5"/>
    <w:rsid w:val="00182A30"/>
    <w:rsid w:val="001831FA"/>
    <w:rsid w:val="00184DD0"/>
    <w:rsid w:val="0019435E"/>
    <w:rsid w:val="001A55B4"/>
    <w:rsid w:val="001A7796"/>
    <w:rsid w:val="001C5AC3"/>
    <w:rsid w:val="001F66B2"/>
    <w:rsid w:val="00237F83"/>
    <w:rsid w:val="00243E2C"/>
    <w:rsid w:val="002475E9"/>
    <w:rsid w:val="00263B80"/>
    <w:rsid w:val="00286164"/>
    <w:rsid w:val="002A5FA6"/>
    <w:rsid w:val="003170C1"/>
    <w:rsid w:val="003268A9"/>
    <w:rsid w:val="00347DED"/>
    <w:rsid w:val="00364BE8"/>
    <w:rsid w:val="0037400C"/>
    <w:rsid w:val="00394A1B"/>
    <w:rsid w:val="003E1B49"/>
    <w:rsid w:val="004066BB"/>
    <w:rsid w:val="004251A0"/>
    <w:rsid w:val="00425EE3"/>
    <w:rsid w:val="00450ACC"/>
    <w:rsid w:val="00470D57"/>
    <w:rsid w:val="004A7272"/>
    <w:rsid w:val="004D2156"/>
    <w:rsid w:val="00517CE3"/>
    <w:rsid w:val="00520EC9"/>
    <w:rsid w:val="005413EC"/>
    <w:rsid w:val="005D4A91"/>
    <w:rsid w:val="005E08F8"/>
    <w:rsid w:val="005F447E"/>
    <w:rsid w:val="0065717E"/>
    <w:rsid w:val="006A2CB4"/>
    <w:rsid w:val="006B1AD7"/>
    <w:rsid w:val="006C01A8"/>
    <w:rsid w:val="00724F15"/>
    <w:rsid w:val="0076305B"/>
    <w:rsid w:val="007D3C2D"/>
    <w:rsid w:val="00803790"/>
    <w:rsid w:val="00897B89"/>
    <w:rsid w:val="008A4C0A"/>
    <w:rsid w:val="008D4F72"/>
    <w:rsid w:val="008F2997"/>
    <w:rsid w:val="00AA58F5"/>
    <w:rsid w:val="00AA670C"/>
    <w:rsid w:val="00AC1DF8"/>
    <w:rsid w:val="00AF7E86"/>
    <w:rsid w:val="00B10889"/>
    <w:rsid w:val="00B133F1"/>
    <w:rsid w:val="00B15FDD"/>
    <w:rsid w:val="00B7734D"/>
    <w:rsid w:val="00B9344C"/>
    <w:rsid w:val="00BB7FA3"/>
    <w:rsid w:val="00BD2B31"/>
    <w:rsid w:val="00BE0C42"/>
    <w:rsid w:val="00D229BC"/>
    <w:rsid w:val="00D234E8"/>
    <w:rsid w:val="00DC3732"/>
    <w:rsid w:val="00E01493"/>
    <w:rsid w:val="00E077ED"/>
    <w:rsid w:val="00E20FA0"/>
    <w:rsid w:val="00E35226"/>
    <w:rsid w:val="00E42DFF"/>
    <w:rsid w:val="00E50A11"/>
    <w:rsid w:val="00E71402"/>
    <w:rsid w:val="00EB491E"/>
    <w:rsid w:val="00ED5F3B"/>
    <w:rsid w:val="00EE3774"/>
    <w:rsid w:val="00EF0BB9"/>
    <w:rsid w:val="00F24B48"/>
    <w:rsid w:val="00F3020D"/>
    <w:rsid w:val="00F334EB"/>
    <w:rsid w:val="00F40820"/>
    <w:rsid w:val="00F460CE"/>
    <w:rsid w:val="00FD7D4E"/>
    <w:rsid w:val="0F8EB79E"/>
    <w:rsid w:val="148E1EBB"/>
    <w:rsid w:val="32EB0CD5"/>
    <w:rsid w:val="3A009CE7"/>
    <w:rsid w:val="4DBF4333"/>
    <w:rsid w:val="580D5DB8"/>
    <w:rsid w:val="59F4D8C1"/>
    <w:rsid w:val="5D01ED05"/>
    <w:rsid w:val="5F3ACE78"/>
    <w:rsid w:val="6344D9CD"/>
    <w:rsid w:val="7FB8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FC7E"/>
  <w15:chartTrackingRefBased/>
  <w15:docId w15:val="{6EDDBE6A-B85A-E74A-A7F8-E8D8765B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07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7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7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7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7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77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77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77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77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7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7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7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77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77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77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77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77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77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77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7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77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7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77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77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77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77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7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77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77E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077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077ED"/>
  </w:style>
  <w:style w:type="paragraph" w:styleId="Pieddepage">
    <w:name w:val="footer"/>
    <w:basedOn w:val="Normal"/>
    <w:link w:val="PieddepageCar"/>
    <w:uiPriority w:val="99"/>
    <w:unhideWhenUsed/>
    <w:rsid w:val="00E077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77ED"/>
  </w:style>
  <w:style w:type="character" w:styleId="Numrodepage">
    <w:name w:val="page number"/>
    <w:basedOn w:val="Policepardfaut"/>
    <w:uiPriority w:val="99"/>
    <w:semiHidden/>
    <w:unhideWhenUsed/>
    <w:rsid w:val="00E077ED"/>
  </w:style>
  <w:style w:type="paragraph" w:styleId="NormalWeb">
    <w:name w:val="Normal (Web)"/>
    <w:basedOn w:val="Normal"/>
    <w:uiPriority w:val="99"/>
    <w:unhideWhenUsed/>
    <w:rsid w:val="002A5F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1A55B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55B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A55B4"/>
    <w:rPr>
      <w:color w:val="96607D" w:themeColor="followedHyperlink"/>
      <w:u w:val="single"/>
    </w:rPr>
  </w:style>
  <w:style w:type="character" w:styleId="lev">
    <w:name w:val="Strong"/>
    <w:basedOn w:val="Policepardfaut"/>
    <w:uiPriority w:val="22"/>
    <w:qFormat/>
    <w:rsid w:val="00E01493"/>
    <w:rPr>
      <w:b/>
      <w:bCs/>
    </w:rPr>
  </w:style>
  <w:style w:type="paragraph" w:customStyle="1" w:styleId="font-claude-response-body">
    <w:name w:val="font-claude-response-body"/>
    <w:basedOn w:val="Normal"/>
    <w:rsid w:val="00F302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numbering" w:customStyle="1" w:styleId="CurrentList1">
    <w:name w:val="Current List1"/>
    <w:uiPriority w:val="99"/>
    <w:rsid w:val="003170C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ndez-vous.endoscopie.erasme@hubruxelles.b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ecMed.GastroMed.erasme@hubruxelles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6401E42F6B7740971792FCBC4E2F9E" ma:contentTypeVersion="3" ma:contentTypeDescription="Crée un document." ma:contentTypeScope="" ma:versionID="48254ce82373762eeb14498b2bbe1a69">
  <xsd:schema xmlns:xsd="http://www.w3.org/2001/XMLSchema" xmlns:xs="http://www.w3.org/2001/XMLSchema" xmlns:p="http://schemas.microsoft.com/office/2006/metadata/properties" xmlns:ns2="23706c33-2c19-4bb6-aa1d-f49300c8fcfd" targetNamespace="http://schemas.microsoft.com/office/2006/metadata/properties" ma:root="true" ma:fieldsID="dbaae18845c88a91c52e8188c92ecaa2" ns2:_="">
    <xsd:import namespace="23706c33-2c19-4bb6-aa1d-f49300c8f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6c33-2c19-4bb6-aa1d-f49300c8f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2B686-0B2D-42D3-89FA-C7B4CFF0FD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434EE8-52D4-4335-9F47-AB67EA2EF88E}"/>
</file>

<file path=customXml/itemProps3.xml><?xml version="1.0" encoding="utf-8"?>
<ds:datastoreItem xmlns:ds="http://schemas.openxmlformats.org/officeDocument/2006/customXml" ds:itemID="{AA047F42-F972-4556-9390-267B49322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3724</Characters>
  <Application>Microsoft Office Word</Application>
  <DocSecurity>4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GULBIS Béatrice</dc:creator>
  <cp:keywords/>
  <dc:description/>
  <cp:lastModifiedBy>BASCOUR, Isaline</cp:lastModifiedBy>
  <cp:revision>2</cp:revision>
  <dcterms:created xsi:type="dcterms:W3CDTF">2026-06-23T12:06:00Z</dcterms:created>
  <dcterms:modified xsi:type="dcterms:W3CDTF">2026-06-23T12:06:00Z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0x010100BF6401E42F6B7740971792FCBC4E2F9E</vt:lpwstr>
  </property>
</Properties>
</file>